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E977EA">
      <w:pPr>
        <w:adjustRightInd/>
        <w:snapToGrid/>
        <w:jc w:val="center"/>
        <w:rPr>
          <w:rFonts w:hint="eastAsia" w:asciiTheme="minorEastAsia" w:hAnsiTheme="minorEastAsia" w:eastAsiaTheme="minorEastAsia" w:cstheme="minorEastAsia"/>
          <w:b/>
          <w:bCs/>
          <w:color w:val="000000"/>
          <w:sz w:val="44"/>
          <w:szCs w:val="44"/>
          <w:lang w:val="en-US" w:eastAsia="zh-CN"/>
        </w:rPr>
      </w:pPr>
      <w:r>
        <w:rPr>
          <w:rFonts w:hint="eastAsia" w:asciiTheme="minorEastAsia" w:hAnsiTheme="minorEastAsia" w:eastAsiaTheme="minorEastAsia" w:cstheme="minorEastAsia"/>
          <w:b/>
          <w:bCs/>
          <w:color w:val="000000"/>
          <w:sz w:val="44"/>
          <w:szCs w:val="44"/>
          <w:lang w:val="en-US" w:eastAsia="zh-CN"/>
        </w:rPr>
        <w:t>评分细则</w:t>
      </w:r>
    </w:p>
    <w:p w14:paraId="57513FB2">
      <w:pPr>
        <w:adjustRightInd/>
        <w:snapToGrid/>
        <w:jc w:val="center"/>
        <w:rPr>
          <w:rFonts w:hint="eastAsia" w:asciiTheme="minorEastAsia" w:hAnsiTheme="minorEastAsia" w:eastAsiaTheme="minorEastAsia" w:cstheme="minorEastAsia"/>
          <w:color w:val="000000"/>
          <w:sz w:val="21"/>
          <w:szCs w:val="21"/>
          <w:lang w:val="en-US" w:eastAsia="zh-CN"/>
        </w:rPr>
      </w:pPr>
    </w:p>
    <w:tbl>
      <w:tblPr>
        <w:tblStyle w:val="7"/>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2"/>
        <w:gridCol w:w="1214"/>
        <w:gridCol w:w="6412"/>
        <w:gridCol w:w="1019"/>
      </w:tblGrid>
      <w:tr w14:paraId="0B017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blHeader/>
          <w:jc w:val="center"/>
        </w:trPr>
        <w:tc>
          <w:tcPr>
            <w:tcW w:w="592" w:type="dxa"/>
            <w:vAlign w:val="center"/>
          </w:tcPr>
          <w:p w14:paraId="63120CAC">
            <w:pPr>
              <w:adjustRightInd/>
              <w:snapToGrid/>
              <w:jc w:val="center"/>
              <w:rPr>
                <w:rFonts w:hint="eastAsia" w:asciiTheme="minorEastAsia" w:hAnsiTheme="minorEastAsia" w:eastAsiaTheme="minorEastAsia" w:cstheme="minorEastAsia"/>
                <w:color w:val="000000"/>
                <w:sz w:val="21"/>
                <w:szCs w:val="21"/>
              </w:rPr>
            </w:pPr>
          </w:p>
          <w:p w14:paraId="602CEFA7">
            <w:pPr>
              <w:adjustRightInd/>
              <w:snapToGrid/>
              <w:jc w:val="center"/>
              <w:rPr>
                <w:rFonts w:hint="eastAsia" w:asciiTheme="minorEastAsia" w:hAnsiTheme="minorEastAsia" w:eastAsiaTheme="minorEastAsia" w:cstheme="minorEastAsia"/>
                <w:color w:val="000000"/>
                <w:sz w:val="21"/>
                <w:szCs w:val="21"/>
              </w:rPr>
            </w:pPr>
          </w:p>
        </w:tc>
        <w:tc>
          <w:tcPr>
            <w:tcW w:w="1214" w:type="dxa"/>
            <w:vAlign w:val="center"/>
          </w:tcPr>
          <w:p w14:paraId="2E9EB64E">
            <w:pPr>
              <w:adjustRightInd/>
              <w:snapToGrid/>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评分</w:t>
            </w:r>
            <w:r>
              <w:rPr>
                <w:rFonts w:hint="eastAsia" w:asciiTheme="minorEastAsia" w:hAnsiTheme="minorEastAsia" w:eastAsiaTheme="minorEastAsia" w:cstheme="minorEastAsia"/>
                <w:color w:val="000000"/>
                <w:sz w:val="21"/>
                <w:szCs w:val="21"/>
                <w:lang w:eastAsia="zh-CN"/>
              </w:rPr>
              <w:t>项目</w:t>
            </w:r>
          </w:p>
        </w:tc>
        <w:tc>
          <w:tcPr>
            <w:tcW w:w="6412" w:type="dxa"/>
            <w:vAlign w:val="center"/>
          </w:tcPr>
          <w:p w14:paraId="2A7ED1CF">
            <w:pPr>
              <w:adjustRightInd/>
              <w:snapToGrid/>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评分要求</w:t>
            </w:r>
          </w:p>
        </w:tc>
        <w:tc>
          <w:tcPr>
            <w:tcW w:w="1019" w:type="dxa"/>
            <w:vAlign w:val="center"/>
          </w:tcPr>
          <w:p w14:paraId="02A91CBE">
            <w:pPr>
              <w:adjustRightInd/>
              <w:snapToGrid/>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分值</w:t>
            </w:r>
          </w:p>
          <w:p w14:paraId="4CB59E0C">
            <w:pPr>
              <w:adjustRightInd/>
              <w:snapToGrid/>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（分）</w:t>
            </w:r>
          </w:p>
        </w:tc>
      </w:tr>
      <w:tr w14:paraId="44E41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7" w:hRule="atLeast"/>
          <w:jc w:val="center"/>
        </w:trPr>
        <w:tc>
          <w:tcPr>
            <w:tcW w:w="592" w:type="dxa"/>
            <w:shd w:val="clear" w:color="auto" w:fill="auto"/>
            <w:vAlign w:val="center"/>
          </w:tcPr>
          <w:p w14:paraId="055F1E80">
            <w:pPr>
              <w:widowControl/>
              <w:jc w:val="center"/>
              <w:rPr>
                <w:rFonts w:hint="eastAsia" w:asciiTheme="minorEastAsia" w:hAnsiTheme="minorEastAsia" w:eastAsiaTheme="minorEastAsia" w:cstheme="minorEastAsia"/>
                <w:color w:val="auto"/>
                <w:kern w:val="0"/>
                <w:sz w:val="21"/>
                <w:szCs w:val="21"/>
                <w:lang w:val="en-US" w:eastAsia="zh-CN" w:bidi="ar-SA"/>
              </w:rPr>
            </w:pPr>
            <w:r>
              <w:rPr>
                <w:rFonts w:hint="eastAsia" w:asciiTheme="minorEastAsia" w:hAnsiTheme="minorEastAsia" w:eastAsiaTheme="minorEastAsia" w:cstheme="minorEastAsia"/>
                <w:color w:val="auto"/>
                <w:kern w:val="0"/>
                <w:sz w:val="21"/>
                <w:szCs w:val="21"/>
              </w:rPr>
              <w:t>1</w:t>
            </w:r>
          </w:p>
        </w:tc>
        <w:tc>
          <w:tcPr>
            <w:tcW w:w="1214" w:type="dxa"/>
            <w:shd w:val="clear" w:color="auto" w:fill="auto"/>
            <w:vAlign w:val="center"/>
          </w:tcPr>
          <w:p w14:paraId="579D7869">
            <w:pPr>
              <w:widowControl/>
              <w:jc w:val="center"/>
              <w:rPr>
                <w:rFonts w:hint="eastAsia" w:asciiTheme="minorEastAsia" w:hAnsiTheme="minorEastAsia" w:eastAsiaTheme="minorEastAsia" w:cstheme="minorEastAsia"/>
                <w:color w:val="auto"/>
                <w:kern w:val="0"/>
                <w:sz w:val="21"/>
                <w:szCs w:val="21"/>
                <w:lang w:val="en-US" w:eastAsia="zh-CN" w:bidi="ar-SA"/>
              </w:rPr>
            </w:pPr>
            <w:r>
              <w:rPr>
                <w:rFonts w:hint="eastAsia" w:asciiTheme="minorEastAsia" w:hAnsiTheme="minorEastAsia" w:eastAsiaTheme="minorEastAsia" w:cstheme="minorEastAsia"/>
                <w:color w:val="auto"/>
                <w:sz w:val="21"/>
                <w:szCs w:val="21"/>
              </w:rPr>
              <w:t>报价</w:t>
            </w:r>
          </w:p>
        </w:tc>
        <w:tc>
          <w:tcPr>
            <w:tcW w:w="6412" w:type="dxa"/>
            <w:shd w:val="clear" w:color="auto" w:fill="auto"/>
            <w:vAlign w:val="center"/>
          </w:tcPr>
          <w:p w14:paraId="2D477E1E">
            <w:pPr>
              <w:widowControl/>
              <w:jc w:val="left"/>
              <w:rPr>
                <w:rFonts w:hint="eastAsia" w:asciiTheme="minorEastAsia" w:hAnsiTheme="minorEastAsia" w:eastAsiaTheme="minorEastAsia" w:cstheme="minorEastAsia"/>
                <w:color w:val="auto"/>
                <w:kern w:val="0"/>
                <w:sz w:val="21"/>
                <w:szCs w:val="21"/>
                <w:lang w:val="en-US" w:eastAsia="zh-CN" w:bidi="ar-SA"/>
              </w:rPr>
            </w:pPr>
            <w:r>
              <w:rPr>
                <w:rFonts w:hint="eastAsia" w:asciiTheme="minorEastAsia" w:hAnsiTheme="minorEastAsia" w:eastAsiaTheme="minorEastAsia" w:cstheme="minorEastAsia"/>
                <w:color w:val="auto"/>
                <w:sz w:val="21"/>
                <w:szCs w:val="21"/>
              </w:rPr>
              <w:t>本项目评定评标基准价：即满足招标文件要求且投标价格最低报价为评标基准价，其价格分为满分（即：</w:t>
            </w:r>
            <w:r>
              <w:rPr>
                <w:rFonts w:hint="eastAsia" w:asciiTheme="minorEastAsia" w:hAnsiTheme="minorEastAsia" w:eastAsiaTheme="minorEastAsia" w:cstheme="minorEastAsia"/>
                <w:color w:val="auto"/>
                <w:sz w:val="21"/>
                <w:szCs w:val="21"/>
                <w:lang w:val="en-US" w:eastAsia="zh-CN"/>
              </w:rPr>
              <w:t>15</w:t>
            </w:r>
            <w:r>
              <w:rPr>
                <w:rFonts w:hint="eastAsia" w:asciiTheme="minorEastAsia" w:hAnsiTheme="minorEastAsia" w:eastAsiaTheme="minorEastAsia" w:cstheme="minorEastAsia"/>
                <w:color w:val="auto"/>
                <w:sz w:val="21"/>
                <w:szCs w:val="21"/>
              </w:rPr>
              <w:t>分）。其他投标人的价格分统一按照下列公式计算：投标报价得分=(评标基准价／投标报价)×价格权值（即：0.</w:t>
            </w:r>
            <w:r>
              <w:rPr>
                <w:rFonts w:hint="eastAsia" w:asciiTheme="minorEastAsia" w:hAnsiTheme="minorEastAsia" w:eastAsiaTheme="minorEastAsia" w:cstheme="minorEastAsia"/>
                <w:color w:val="auto"/>
                <w:sz w:val="21"/>
                <w:szCs w:val="21"/>
                <w:lang w:val="en-US" w:eastAsia="zh-CN"/>
              </w:rPr>
              <w:t>15</w:t>
            </w:r>
            <w:r>
              <w:rPr>
                <w:rFonts w:hint="eastAsia" w:asciiTheme="minorEastAsia" w:hAnsiTheme="minorEastAsia" w:eastAsiaTheme="minorEastAsia" w:cstheme="minorEastAsia"/>
                <w:color w:val="auto"/>
                <w:sz w:val="21"/>
                <w:szCs w:val="21"/>
              </w:rPr>
              <w:t>）×100）</w:t>
            </w:r>
          </w:p>
        </w:tc>
        <w:tc>
          <w:tcPr>
            <w:tcW w:w="1019" w:type="dxa"/>
            <w:shd w:val="clear" w:color="auto" w:fill="auto"/>
            <w:vAlign w:val="center"/>
          </w:tcPr>
          <w:p w14:paraId="2438FDAD">
            <w:pPr>
              <w:widowControl/>
              <w:jc w:val="center"/>
              <w:rPr>
                <w:rFonts w:hint="eastAsia" w:asciiTheme="minorEastAsia" w:hAnsiTheme="minorEastAsia" w:eastAsiaTheme="minorEastAsia" w:cstheme="minorEastAsia"/>
                <w:color w:val="auto"/>
                <w:kern w:val="0"/>
                <w:sz w:val="21"/>
                <w:szCs w:val="21"/>
                <w:lang w:val="en-US" w:eastAsia="zh-CN" w:bidi="ar-SA"/>
              </w:rPr>
            </w:pPr>
            <w:r>
              <w:rPr>
                <w:rFonts w:hint="eastAsia" w:asciiTheme="minorEastAsia" w:hAnsiTheme="minorEastAsia" w:eastAsiaTheme="minorEastAsia" w:cstheme="minorEastAsia"/>
                <w:color w:val="auto"/>
                <w:kern w:val="0"/>
                <w:sz w:val="21"/>
                <w:szCs w:val="21"/>
                <w:lang w:val="en-US" w:eastAsia="zh-CN"/>
              </w:rPr>
              <w:t>15</w:t>
            </w:r>
            <w:r>
              <w:rPr>
                <w:rFonts w:hint="eastAsia" w:asciiTheme="minorEastAsia" w:hAnsiTheme="minorEastAsia" w:eastAsiaTheme="minorEastAsia" w:cstheme="minorEastAsia"/>
                <w:color w:val="auto"/>
                <w:kern w:val="0"/>
                <w:sz w:val="21"/>
                <w:szCs w:val="21"/>
              </w:rPr>
              <w:t>分</w:t>
            </w:r>
          </w:p>
        </w:tc>
      </w:tr>
      <w:tr w14:paraId="3B12F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7" w:hRule="atLeast"/>
          <w:jc w:val="center"/>
        </w:trPr>
        <w:tc>
          <w:tcPr>
            <w:tcW w:w="592" w:type="dxa"/>
            <w:shd w:val="clear" w:color="auto" w:fill="auto"/>
            <w:vAlign w:val="center"/>
          </w:tcPr>
          <w:p w14:paraId="108CF54A">
            <w:pPr>
              <w:adjustRightInd/>
              <w:snapToGrid/>
              <w:jc w:val="center"/>
              <w:rPr>
                <w:rFonts w:hint="eastAsia" w:asciiTheme="minorEastAsia" w:hAnsiTheme="minorEastAsia" w:eastAsiaTheme="minorEastAsia" w:cstheme="minorEastAsia"/>
                <w:color w:val="auto"/>
                <w:kern w:val="1"/>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lang w:val="en-US" w:eastAsia="zh-CN"/>
              </w:rPr>
              <w:t>2</w:t>
            </w:r>
          </w:p>
        </w:tc>
        <w:tc>
          <w:tcPr>
            <w:tcW w:w="1214" w:type="dxa"/>
            <w:shd w:val="clear" w:color="auto" w:fill="auto"/>
            <w:vAlign w:val="center"/>
          </w:tcPr>
          <w:p w14:paraId="2EFB4EC1">
            <w:pPr>
              <w:spacing w:line="240" w:lineRule="auto"/>
              <w:jc w:val="center"/>
              <w:rPr>
                <w:rFonts w:hint="eastAsia" w:asciiTheme="minorEastAsia" w:hAnsiTheme="minorEastAsia" w:eastAsiaTheme="minorEastAsia" w:cstheme="minorEastAsia"/>
                <w:color w:val="auto"/>
                <w:kern w:val="1"/>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lang w:eastAsia="zh-CN"/>
              </w:rPr>
              <w:t>企业资信</w:t>
            </w:r>
          </w:p>
        </w:tc>
        <w:tc>
          <w:tcPr>
            <w:tcW w:w="6412" w:type="dxa"/>
            <w:shd w:val="clear" w:color="auto" w:fill="auto"/>
            <w:vAlign w:val="center"/>
          </w:tcPr>
          <w:p w14:paraId="65E6D3E9">
            <w:pPr>
              <w:jc w:val="left"/>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2、具有消防设施专业承包贰级资质得3分；具有消防设施专业承包壹级资质得5分；有质量管理、环境管理、职业健康安全管理认证证书可得2分,总计10分</w:t>
            </w:r>
          </w:p>
          <w:p w14:paraId="1A8678FA">
            <w:pPr>
              <w:jc w:val="left"/>
              <w:rPr>
                <w:rFonts w:hint="eastAsia" w:asciiTheme="minorEastAsia" w:hAnsiTheme="minorEastAsia" w:eastAsiaTheme="minorEastAsia" w:cstheme="minorEastAsia"/>
                <w:color w:val="auto"/>
                <w:kern w:val="1"/>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lang w:val="en-US" w:eastAsia="zh-CN"/>
              </w:rPr>
              <w:t>（注：须提供相关原件扫描件加盖公章，不提供或提供不全的不得分）</w:t>
            </w:r>
          </w:p>
        </w:tc>
        <w:tc>
          <w:tcPr>
            <w:tcW w:w="1019" w:type="dxa"/>
            <w:shd w:val="clear" w:color="auto" w:fill="auto"/>
            <w:vAlign w:val="center"/>
          </w:tcPr>
          <w:p w14:paraId="1A153937">
            <w:pPr>
              <w:spacing w:line="240" w:lineRule="auto"/>
              <w:jc w:val="center"/>
              <w:rPr>
                <w:rFonts w:hint="eastAsia" w:asciiTheme="minorEastAsia" w:hAnsiTheme="minorEastAsia" w:eastAsiaTheme="minorEastAsia" w:cstheme="minorEastAsia"/>
                <w:color w:val="auto"/>
                <w:kern w:val="1"/>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rPr>
              <w:t>0-</w:t>
            </w:r>
            <w:r>
              <w:rPr>
                <w:rFonts w:hint="eastAsia" w:asciiTheme="minorEastAsia" w:hAnsiTheme="minorEastAsia" w:eastAsiaTheme="minorEastAsia" w:cstheme="minorEastAsia"/>
                <w:color w:val="auto"/>
                <w:sz w:val="21"/>
                <w:szCs w:val="21"/>
                <w:highlight w:val="none"/>
                <w:lang w:val="en-US" w:eastAsia="zh-CN"/>
              </w:rPr>
              <w:t>10分</w:t>
            </w:r>
          </w:p>
        </w:tc>
      </w:tr>
      <w:tr w14:paraId="54AD0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7" w:hRule="atLeast"/>
          <w:jc w:val="center"/>
        </w:trPr>
        <w:tc>
          <w:tcPr>
            <w:tcW w:w="592" w:type="dxa"/>
            <w:shd w:val="clear" w:color="auto" w:fill="auto"/>
            <w:vAlign w:val="center"/>
          </w:tcPr>
          <w:p w14:paraId="05C339A4">
            <w:pPr>
              <w:adjustRightInd/>
              <w:snapToGrid/>
              <w:jc w:val="center"/>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w:t>
            </w:r>
          </w:p>
        </w:tc>
        <w:tc>
          <w:tcPr>
            <w:tcW w:w="1214" w:type="dxa"/>
            <w:shd w:val="clear" w:color="auto" w:fill="auto"/>
            <w:vAlign w:val="center"/>
          </w:tcPr>
          <w:p w14:paraId="6F52B80D">
            <w:pPr>
              <w:spacing w:line="240" w:lineRule="auto"/>
              <w:jc w:val="center"/>
              <w:rPr>
                <w:rFonts w:hint="eastAsia" w:asciiTheme="minorEastAsia" w:hAnsiTheme="minorEastAsia" w:eastAsiaTheme="minorEastAsia" w:cstheme="minorEastAsia"/>
                <w:color w:val="auto"/>
                <w:sz w:val="21"/>
                <w:szCs w:val="21"/>
                <w:highlight w:val="none"/>
                <w:lang w:eastAsia="zh-CN"/>
              </w:rPr>
            </w:pPr>
            <w:r>
              <w:rPr>
                <w:rFonts w:hint="eastAsia" w:ascii="宋体" w:hAnsi="宋体" w:cs="宋体"/>
                <w:bCs/>
                <w:color w:val="auto"/>
                <w:szCs w:val="21"/>
              </w:rPr>
              <w:t>人员配备</w:t>
            </w:r>
          </w:p>
        </w:tc>
        <w:tc>
          <w:tcPr>
            <w:tcW w:w="6412" w:type="dxa"/>
            <w:shd w:val="clear" w:color="auto" w:fill="auto"/>
            <w:vAlign w:val="center"/>
          </w:tcPr>
          <w:p w14:paraId="0771546C">
            <w:pPr>
              <w:spacing w:line="320" w:lineRule="exac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服务团队中具备一级注册消防工程师的人员，</w:t>
            </w:r>
            <w:r>
              <w:rPr>
                <w:rFonts w:hint="eastAsia" w:ascii="宋体" w:hAnsi="宋体" w:eastAsia="宋体" w:cs="宋体"/>
                <w:color w:val="auto"/>
                <w:szCs w:val="21"/>
                <w:highlight w:val="none"/>
                <w:lang w:val="en-US" w:eastAsia="zh-CN"/>
              </w:rPr>
              <w:t>具有</w:t>
            </w:r>
            <w:r>
              <w:rPr>
                <w:rFonts w:hint="eastAsia" w:ascii="宋体" w:hAnsi="宋体" w:eastAsia="宋体" w:cs="宋体"/>
                <w:color w:val="auto"/>
                <w:szCs w:val="21"/>
                <w:highlight w:val="none"/>
              </w:rPr>
              <w:t>1人得</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分，最多得</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rPr>
              <w:t>分。</w:t>
            </w:r>
          </w:p>
          <w:p w14:paraId="24325D79">
            <w:pPr>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服务团队中</w:t>
            </w:r>
            <w:r>
              <w:rPr>
                <w:rFonts w:hint="eastAsia" w:ascii="宋体" w:hAnsi="宋体" w:eastAsia="宋体" w:cs="宋体"/>
                <w:color w:val="auto"/>
                <w:szCs w:val="21"/>
                <w:highlight w:val="none"/>
              </w:rPr>
              <w:t>人员</w:t>
            </w:r>
            <w:r>
              <w:rPr>
                <w:rFonts w:hint="eastAsia" w:ascii="宋体" w:hAnsi="宋体" w:eastAsia="宋体" w:cs="宋体"/>
                <w:color w:val="auto"/>
                <w:szCs w:val="21"/>
                <w:highlight w:val="none"/>
                <w:lang w:val="en-US" w:eastAsia="zh-CN"/>
              </w:rPr>
              <w:t>具备</w:t>
            </w:r>
            <w:r>
              <w:rPr>
                <w:rFonts w:hint="eastAsia" w:ascii="宋体" w:hAnsi="宋体" w:eastAsia="宋体" w:cs="宋体"/>
                <w:color w:val="auto"/>
                <w:szCs w:val="21"/>
                <w:highlight w:val="none"/>
                <w:lang w:eastAsia="zh-CN"/>
              </w:rPr>
              <w:t>消防设施操作员</w:t>
            </w:r>
            <w:r>
              <w:rPr>
                <w:rFonts w:hint="eastAsia" w:ascii="宋体" w:hAnsi="宋体" w:eastAsia="宋体" w:cs="宋体"/>
                <w:color w:val="auto"/>
                <w:szCs w:val="21"/>
                <w:highlight w:val="none"/>
                <w:lang w:val="en-US" w:eastAsia="zh-CN"/>
              </w:rPr>
              <w:t>四</w:t>
            </w:r>
            <w:r>
              <w:rPr>
                <w:rFonts w:hint="eastAsia" w:ascii="宋体" w:hAnsi="宋体" w:eastAsia="宋体" w:cs="宋体"/>
                <w:color w:val="auto"/>
                <w:szCs w:val="21"/>
                <w:highlight w:val="none"/>
                <w:lang w:eastAsia="zh-CN"/>
              </w:rPr>
              <w:t>级</w:t>
            </w:r>
            <w:r>
              <w:rPr>
                <w:rFonts w:hint="eastAsia" w:ascii="宋体" w:hAnsi="宋体" w:eastAsia="宋体" w:cs="宋体"/>
                <w:color w:val="auto"/>
                <w:szCs w:val="21"/>
                <w:highlight w:val="none"/>
                <w:lang w:val="en-US" w:eastAsia="zh-CN"/>
              </w:rPr>
              <w:t>及以上的人员，具有</w:t>
            </w:r>
            <w:r>
              <w:rPr>
                <w:rFonts w:hint="eastAsia" w:ascii="宋体" w:hAnsi="宋体" w:eastAsia="宋体" w:cs="宋体"/>
                <w:color w:val="auto"/>
                <w:szCs w:val="21"/>
                <w:highlight w:val="none"/>
              </w:rPr>
              <w:t>1人得</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分</w:t>
            </w:r>
            <w:r>
              <w:rPr>
                <w:rFonts w:hint="eastAsia" w:ascii="宋体" w:hAnsi="宋体" w:eastAsia="宋体" w:cs="宋体"/>
                <w:color w:val="auto"/>
                <w:szCs w:val="21"/>
                <w:highlight w:val="none"/>
                <w:lang w:val="en-US" w:eastAsia="zh-CN"/>
              </w:rPr>
              <w:t>，最高</w:t>
            </w:r>
            <w:r>
              <w:rPr>
                <w:rFonts w:hint="eastAsia" w:ascii="宋体" w:hAnsi="宋体" w:cs="宋体"/>
                <w:color w:val="auto"/>
                <w:szCs w:val="21"/>
                <w:highlight w:val="none"/>
                <w:lang w:val="en-US" w:eastAsia="zh-CN"/>
              </w:rPr>
              <w:t>10</w:t>
            </w:r>
            <w:r>
              <w:rPr>
                <w:rFonts w:hint="eastAsia" w:ascii="宋体" w:hAnsi="宋体" w:eastAsia="宋体" w:cs="宋体"/>
                <w:color w:val="auto"/>
                <w:szCs w:val="21"/>
                <w:highlight w:val="none"/>
                <w:lang w:val="en-US" w:eastAsia="zh-CN"/>
              </w:rPr>
              <w:t>分。</w:t>
            </w:r>
          </w:p>
          <w:p w14:paraId="7898E635">
            <w:pPr>
              <w:jc w:val="left"/>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color w:val="auto"/>
                <w:szCs w:val="21"/>
                <w:highlight w:val="none"/>
                <w:lang w:val="en-US" w:eastAsia="zh-CN"/>
              </w:rPr>
              <w:t>注：</w:t>
            </w:r>
            <w:r>
              <w:rPr>
                <w:rFonts w:hint="eastAsia" w:ascii="宋体" w:hAnsi="宋体" w:eastAsia="宋体" w:cs="宋体"/>
                <w:color w:val="auto"/>
                <w:szCs w:val="21"/>
                <w:highlight w:val="none"/>
              </w:rPr>
              <w:t>须提供拟派人员在有效期内的相应证书及</w:t>
            </w:r>
            <w:r>
              <w:rPr>
                <w:rFonts w:hint="eastAsia" w:ascii="宋体" w:hAnsi="宋体" w:eastAsia="宋体" w:cs="宋体"/>
                <w:color w:val="auto"/>
                <w:szCs w:val="21"/>
                <w:highlight w:val="none"/>
                <w:lang w:val="en-US" w:eastAsia="zh-CN"/>
              </w:rPr>
              <w:t>投标</w:t>
            </w:r>
            <w:r>
              <w:rPr>
                <w:rFonts w:hint="eastAsia" w:ascii="宋体" w:hAnsi="宋体" w:eastAsia="宋体" w:cs="宋体"/>
                <w:color w:val="auto"/>
                <w:szCs w:val="21"/>
                <w:highlight w:val="none"/>
              </w:rPr>
              <w:t>截止前近三个月内</w:t>
            </w:r>
            <w:r>
              <w:rPr>
                <w:rFonts w:hint="eastAsia" w:ascii="宋体" w:hAnsi="宋体" w:eastAsia="宋体" w:cs="宋体"/>
                <w:color w:val="auto"/>
                <w:szCs w:val="21"/>
                <w:highlight w:val="none"/>
                <w:lang w:val="en-US" w:eastAsia="zh-CN"/>
              </w:rPr>
              <w:t>投标人</w:t>
            </w:r>
            <w:r>
              <w:rPr>
                <w:rFonts w:hint="eastAsia" w:ascii="宋体" w:hAnsi="宋体" w:eastAsia="宋体" w:cs="宋体"/>
                <w:color w:val="auto"/>
                <w:szCs w:val="21"/>
                <w:highlight w:val="none"/>
              </w:rPr>
              <w:t>为其缴纳的社保证明加盖</w:t>
            </w:r>
            <w:r>
              <w:rPr>
                <w:rFonts w:hint="eastAsia" w:ascii="宋体" w:hAnsi="宋体" w:eastAsia="宋体" w:cs="宋体"/>
                <w:color w:val="auto"/>
                <w:szCs w:val="21"/>
                <w:highlight w:val="none"/>
                <w:lang w:val="en-US" w:eastAsia="zh-CN"/>
              </w:rPr>
              <w:t>投标人</w:t>
            </w:r>
            <w:r>
              <w:rPr>
                <w:rFonts w:hint="eastAsia" w:ascii="宋体" w:hAnsi="宋体" w:eastAsia="宋体" w:cs="宋体"/>
                <w:color w:val="auto"/>
                <w:szCs w:val="21"/>
                <w:highlight w:val="none"/>
              </w:rPr>
              <w:t>公章编入</w:t>
            </w:r>
            <w:r>
              <w:rPr>
                <w:rFonts w:hint="eastAsia" w:ascii="宋体" w:hAnsi="宋体" w:eastAsia="宋体" w:cs="宋体"/>
                <w:color w:val="auto"/>
                <w:szCs w:val="21"/>
                <w:highlight w:val="none"/>
                <w:lang w:val="en-US" w:eastAsia="zh-CN"/>
              </w:rPr>
              <w:t>投标</w:t>
            </w:r>
            <w:r>
              <w:rPr>
                <w:rFonts w:hint="eastAsia" w:ascii="宋体" w:hAnsi="宋体" w:eastAsia="宋体" w:cs="宋体"/>
                <w:color w:val="auto"/>
                <w:szCs w:val="21"/>
                <w:highlight w:val="none"/>
              </w:rPr>
              <w:t>文件中，未提供不得分。</w:t>
            </w:r>
          </w:p>
        </w:tc>
        <w:tc>
          <w:tcPr>
            <w:tcW w:w="1019" w:type="dxa"/>
            <w:shd w:val="clear" w:color="auto" w:fill="auto"/>
            <w:vAlign w:val="center"/>
          </w:tcPr>
          <w:p w14:paraId="61A60094">
            <w:pPr>
              <w:spacing w:line="240" w:lineRule="auto"/>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0-15分</w:t>
            </w:r>
          </w:p>
        </w:tc>
      </w:tr>
      <w:tr w14:paraId="79B6D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7" w:hRule="atLeast"/>
          <w:jc w:val="center"/>
        </w:trPr>
        <w:tc>
          <w:tcPr>
            <w:tcW w:w="592" w:type="dxa"/>
            <w:shd w:val="clear" w:color="auto" w:fill="auto"/>
            <w:vAlign w:val="center"/>
          </w:tcPr>
          <w:p w14:paraId="663BE496">
            <w:pPr>
              <w:adjustRightInd/>
              <w:snapToGrid/>
              <w:jc w:val="center"/>
              <w:rPr>
                <w:rFonts w:hint="eastAsia" w:asciiTheme="minorEastAsia" w:hAnsiTheme="minorEastAsia" w:eastAsiaTheme="minorEastAsia" w:cstheme="minorEastAsia"/>
                <w:color w:val="auto"/>
                <w:kern w:val="1"/>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lang w:val="en-US" w:eastAsia="zh-CN"/>
              </w:rPr>
              <w:t>4</w:t>
            </w:r>
          </w:p>
        </w:tc>
        <w:tc>
          <w:tcPr>
            <w:tcW w:w="1214" w:type="dxa"/>
            <w:shd w:val="clear" w:color="auto" w:fill="auto"/>
            <w:vAlign w:val="center"/>
          </w:tcPr>
          <w:p w14:paraId="10D08381">
            <w:pPr>
              <w:spacing w:line="240" w:lineRule="auto"/>
              <w:jc w:val="center"/>
              <w:rPr>
                <w:rFonts w:hint="eastAsia" w:asciiTheme="minorEastAsia" w:hAnsiTheme="minorEastAsia" w:eastAsiaTheme="minorEastAsia" w:cstheme="minorEastAsia"/>
                <w:color w:val="auto"/>
                <w:kern w:val="1"/>
                <w:sz w:val="21"/>
                <w:szCs w:val="21"/>
                <w:highlight w:val="none"/>
                <w:lang w:val="en-US" w:eastAsia="zh-CN" w:bidi="ar-SA"/>
              </w:rPr>
            </w:pPr>
            <w:r>
              <w:rPr>
                <w:rFonts w:hint="eastAsia" w:asciiTheme="minorEastAsia" w:hAnsiTheme="minorEastAsia" w:eastAsiaTheme="minorEastAsia" w:cstheme="minorEastAsia"/>
                <w:color w:val="auto"/>
                <w:sz w:val="21"/>
                <w:szCs w:val="21"/>
              </w:rPr>
              <w:t>投标人</w:t>
            </w:r>
            <w:r>
              <w:rPr>
                <w:rFonts w:hint="eastAsia" w:asciiTheme="minorEastAsia" w:hAnsiTheme="minorEastAsia" w:eastAsiaTheme="minorEastAsia" w:cstheme="minorEastAsia"/>
                <w:color w:val="auto"/>
                <w:sz w:val="21"/>
                <w:szCs w:val="21"/>
                <w:highlight w:val="none"/>
                <w:lang w:val="en-US" w:eastAsia="zh-CN"/>
              </w:rPr>
              <w:t>业绩</w:t>
            </w:r>
          </w:p>
        </w:tc>
        <w:tc>
          <w:tcPr>
            <w:tcW w:w="6412" w:type="dxa"/>
            <w:shd w:val="clear" w:color="auto" w:fill="auto"/>
            <w:vAlign w:val="center"/>
          </w:tcPr>
          <w:p w14:paraId="58B650D5">
            <w:pPr>
              <w:jc w:val="left"/>
              <w:rPr>
                <w:rFonts w:hint="eastAsia" w:asciiTheme="minorEastAsia" w:hAnsiTheme="minorEastAsia" w:eastAsiaTheme="minorEastAsia" w:cstheme="minorEastAsia"/>
                <w:color w:val="auto"/>
                <w:kern w:val="1"/>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lang w:val="en-US" w:eastAsia="zh-CN"/>
              </w:rPr>
              <w:t>业绩：自2024年1月1日至开标截止日期前(以合同签订时间为准)投标人具有类似业绩，每个得0.5分，最多得1.5分</w:t>
            </w:r>
            <w:r>
              <w:rPr>
                <w:rFonts w:hint="eastAsia" w:asciiTheme="minorEastAsia" w:hAnsiTheme="minorEastAsia" w:eastAsiaTheme="minorEastAsia" w:cstheme="minorEastAsia"/>
                <w:color w:val="auto"/>
                <w:sz w:val="21"/>
                <w:szCs w:val="21"/>
              </w:rPr>
              <w:t>（需提供合同复印件</w:t>
            </w:r>
            <w:r>
              <w:rPr>
                <w:rFonts w:hint="eastAsia" w:asciiTheme="minorEastAsia" w:hAnsiTheme="minorEastAsia" w:eastAsiaTheme="minorEastAsia" w:cstheme="minorEastAsia"/>
                <w:color w:val="auto"/>
                <w:sz w:val="21"/>
                <w:szCs w:val="21"/>
                <w:lang w:eastAsia="zh-CN"/>
              </w:rPr>
              <w:t>及相对应佐证资料证明业绩得真实有效性，</w:t>
            </w:r>
            <w:r>
              <w:rPr>
                <w:rFonts w:hint="eastAsia" w:asciiTheme="minorEastAsia" w:hAnsiTheme="minorEastAsia" w:eastAsiaTheme="minorEastAsia" w:cstheme="minorEastAsia"/>
                <w:color w:val="auto"/>
                <w:sz w:val="21"/>
                <w:szCs w:val="21"/>
              </w:rPr>
              <w:t>并加盖签章，不提供不得分）</w:t>
            </w:r>
          </w:p>
        </w:tc>
        <w:tc>
          <w:tcPr>
            <w:tcW w:w="1019" w:type="dxa"/>
            <w:shd w:val="clear" w:color="auto" w:fill="auto"/>
            <w:vAlign w:val="center"/>
          </w:tcPr>
          <w:p w14:paraId="677ECF16">
            <w:pPr>
              <w:spacing w:line="240" w:lineRule="auto"/>
              <w:jc w:val="center"/>
              <w:rPr>
                <w:rFonts w:hint="eastAsia" w:asciiTheme="minorEastAsia" w:hAnsiTheme="minorEastAsia" w:eastAsiaTheme="minorEastAsia" w:cstheme="minorEastAsia"/>
                <w:color w:val="auto"/>
                <w:kern w:val="1"/>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lang w:val="en-US" w:eastAsia="zh-CN"/>
              </w:rPr>
              <w:t>0-1.5分</w:t>
            </w:r>
          </w:p>
        </w:tc>
      </w:tr>
      <w:tr w14:paraId="0A41A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9" w:hRule="atLeast"/>
          <w:jc w:val="center"/>
        </w:trPr>
        <w:tc>
          <w:tcPr>
            <w:tcW w:w="592" w:type="dxa"/>
            <w:shd w:val="clear" w:color="auto" w:fill="auto"/>
            <w:vAlign w:val="center"/>
          </w:tcPr>
          <w:p w14:paraId="774D1431">
            <w:pPr>
              <w:adjustRightInd/>
              <w:snapToGrid/>
              <w:jc w:val="center"/>
              <w:rPr>
                <w:rFonts w:hint="eastAsia" w:asciiTheme="minorEastAsia" w:hAnsiTheme="minorEastAsia" w:eastAsiaTheme="minorEastAsia" w:cstheme="minorEastAsia"/>
                <w:color w:val="000000"/>
                <w:kern w:val="1"/>
                <w:sz w:val="21"/>
                <w:szCs w:val="21"/>
                <w:highlight w:val="none"/>
                <w:lang w:val="en-US" w:eastAsia="zh-CN" w:bidi="ar-SA"/>
              </w:rPr>
            </w:pPr>
            <w:r>
              <w:rPr>
                <w:rFonts w:hint="eastAsia" w:asciiTheme="minorEastAsia" w:hAnsiTheme="minorEastAsia" w:eastAsiaTheme="minorEastAsia" w:cstheme="minorEastAsia"/>
                <w:color w:val="000000"/>
                <w:sz w:val="21"/>
                <w:szCs w:val="21"/>
                <w:highlight w:val="none"/>
                <w:lang w:val="en-US" w:eastAsia="zh-CN"/>
              </w:rPr>
              <w:t>5</w:t>
            </w:r>
          </w:p>
        </w:tc>
        <w:tc>
          <w:tcPr>
            <w:tcW w:w="1214" w:type="dxa"/>
            <w:shd w:val="clear" w:color="auto" w:fill="auto"/>
            <w:vAlign w:val="center"/>
          </w:tcPr>
          <w:p w14:paraId="21AFEEAF">
            <w:pPr>
              <w:spacing w:line="240" w:lineRule="auto"/>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rPr>
              <w:t>施工现场平面布置方案</w:t>
            </w:r>
          </w:p>
        </w:tc>
        <w:tc>
          <w:tcPr>
            <w:tcW w:w="6412" w:type="dxa"/>
            <w:shd w:val="clear" w:color="auto" w:fill="auto"/>
            <w:vAlign w:val="center"/>
          </w:tcPr>
          <w:p w14:paraId="51E592F8">
            <w:pPr>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根据</w:t>
            </w:r>
            <w:r>
              <w:rPr>
                <w:rFonts w:hint="eastAsia" w:asciiTheme="minorEastAsia" w:hAnsiTheme="minorEastAsia" w:eastAsiaTheme="minorEastAsia" w:cstheme="minorEastAsia"/>
                <w:sz w:val="21"/>
                <w:szCs w:val="21"/>
                <w:highlight w:val="none"/>
                <w:lang w:val="en-US" w:eastAsia="zh-CN"/>
              </w:rPr>
              <w:t>投标人</w:t>
            </w:r>
            <w:r>
              <w:rPr>
                <w:rFonts w:hint="eastAsia" w:asciiTheme="minorEastAsia" w:hAnsiTheme="minorEastAsia" w:eastAsiaTheme="minorEastAsia" w:cstheme="minorEastAsia"/>
                <w:sz w:val="21"/>
                <w:szCs w:val="21"/>
                <w:highlight w:val="none"/>
              </w:rPr>
              <w:t>提供的施工现场平面布置方案是否完善、施工现场临时设施布置是否齐全、施工设备和原材料堆放安排是否有序、安全警示设置是否合理进行</w:t>
            </w:r>
            <w:r>
              <w:rPr>
                <w:rFonts w:hint="eastAsia" w:asciiTheme="minorEastAsia" w:hAnsiTheme="minorEastAsia" w:eastAsiaTheme="minorEastAsia" w:cstheme="minorEastAsia"/>
                <w:sz w:val="21"/>
                <w:szCs w:val="21"/>
                <w:highlight w:val="none"/>
                <w:lang w:val="en-US" w:eastAsia="zh-CN"/>
              </w:rPr>
              <w:t>评分</w:t>
            </w:r>
            <w:r>
              <w:rPr>
                <w:rFonts w:hint="eastAsia" w:asciiTheme="minorEastAsia" w:hAnsiTheme="minorEastAsia" w:eastAsiaTheme="minorEastAsia" w:cstheme="minorEastAsia"/>
                <w:sz w:val="21"/>
                <w:szCs w:val="21"/>
                <w:highlight w:val="none"/>
              </w:rPr>
              <w:t>。</w:t>
            </w:r>
          </w:p>
          <w:p w14:paraId="34B50E20">
            <w:pPr>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①平面布置方案详实完整，施工现场临时设施布置齐全，施工设备、原材料堆放有序，安全警示醒目，方案切实可行的得</w:t>
            </w:r>
            <w:r>
              <w:rPr>
                <w:rFonts w:hint="eastAsia" w:asciiTheme="minorEastAsia" w:hAnsiTheme="minorEastAsia" w:eastAsiaTheme="minorEastAsia" w:cstheme="minorEastAsia"/>
                <w:sz w:val="21"/>
                <w:szCs w:val="21"/>
                <w:highlight w:val="none"/>
                <w:lang w:val="en-US" w:eastAsia="zh-CN"/>
              </w:rPr>
              <w:t>5.1-8.5</w:t>
            </w:r>
            <w:r>
              <w:rPr>
                <w:rFonts w:hint="eastAsia" w:asciiTheme="minorEastAsia" w:hAnsiTheme="minorEastAsia" w:eastAsiaTheme="minorEastAsia" w:cstheme="minorEastAsia"/>
                <w:sz w:val="21"/>
                <w:szCs w:val="21"/>
                <w:highlight w:val="none"/>
              </w:rPr>
              <w:t>分；</w:t>
            </w:r>
          </w:p>
          <w:p w14:paraId="25101889">
            <w:pPr>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②平面布置方案内容充分，较详细，施工现场临时设施布置基本齐全，施工设备、原材料堆放较有序，安全警示较醒目，方案合理可行的得</w:t>
            </w:r>
            <w:r>
              <w:rPr>
                <w:rFonts w:hint="eastAsia" w:asciiTheme="minorEastAsia" w:hAnsiTheme="minorEastAsia" w:eastAsiaTheme="minorEastAsia" w:cstheme="minorEastAsia"/>
                <w:sz w:val="21"/>
                <w:szCs w:val="21"/>
                <w:highlight w:val="none"/>
                <w:lang w:val="en-US" w:eastAsia="zh-CN"/>
              </w:rPr>
              <w:t>2.1-5</w:t>
            </w:r>
            <w:r>
              <w:rPr>
                <w:rFonts w:hint="eastAsia" w:asciiTheme="minorEastAsia" w:hAnsiTheme="minorEastAsia" w:eastAsiaTheme="minorEastAsia" w:cstheme="minorEastAsia"/>
                <w:sz w:val="21"/>
                <w:szCs w:val="21"/>
                <w:highlight w:val="none"/>
              </w:rPr>
              <w:t>分；</w:t>
            </w:r>
          </w:p>
          <w:p w14:paraId="353B712E">
            <w:pPr>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③平面布置方案内容不够完善，施工现场临时设施布置不够妥当，施工设备、原材料堆放混乱，安全警示不够醒目，可行性较低的得</w:t>
            </w:r>
            <w:r>
              <w:rPr>
                <w:rFonts w:hint="eastAsia" w:asciiTheme="minorEastAsia" w:hAnsiTheme="minorEastAsia" w:eastAsiaTheme="minorEastAsia" w:cstheme="minorEastAsia"/>
                <w:sz w:val="21"/>
                <w:szCs w:val="21"/>
                <w:highlight w:val="none"/>
                <w:lang w:val="en-US" w:eastAsia="zh-CN"/>
              </w:rPr>
              <w:t>0-2</w:t>
            </w:r>
            <w:r>
              <w:rPr>
                <w:rFonts w:hint="eastAsia" w:asciiTheme="minorEastAsia" w:hAnsiTheme="minorEastAsia" w:eastAsiaTheme="minorEastAsia" w:cstheme="minorEastAsia"/>
                <w:sz w:val="21"/>
                <w:szCs w:val="21"/>
                <w:highlight w:val="none"/>
              </w:rPr>
              <w:t>分；</w:t>
            </w:r>
          </w:p>
          <w:p w14:paraId="76A503BB">
            <w:pPr>
              <w:jc w:val="left"/>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rPr>
              <w:t>④平面布置方案明显不符合项目实际或未提供的本项不得分。</w:t>
            </w:r>
          </w:p>
        </w:tc>
        <w:tc>
          <w:tcPr>
            <w:tcW w:w="1019" w:type="dxa"/>
            <w:shd w:val="clear" w:color="auto" w:fill="auto"/>
            <w:vAlign w:val="center"/>
          </w:tcPr>
          <w:p w14:paraId="54E4B867">
            <w:pPr>
              <w:spacing w:line="240" w:lineRule="auto"/>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lang w:val="en-US" w:eastAsia="zh-CN"/>
              </w:rPr>
              <w:t>0-8.5分</w:t>
            </w:r>
          </w:p>
        </w:tc>
      </w:tr>
      <w:tr w14:paraId="50D8F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jc w:val="center"/>
        </w:trPr>
        <w:tc>
          <w:tcPr>
            <w:tcW w:w="592" w:type="dxa"/>
            <w:shd w:val="clear" w:color="auto" w:fill="auto"/>
            <w:vAlign w:val="center"/>
          </w:tcPr>
          <w:p w14:paraId="6E6A3F15">
            <w:pPr>
              <w:adjustRightInd/>
              <w:snapToGrid/>
              <w:jc w:val="center"/>
              <w:rPr>
                <w:rFonts w:hint="eastAsia" w:asciiTheme="minorEastAsia" w:hAnsiTheme="minorEastAsia" w:eastAsiaTheme="minorEastAsia" w:cstheme="minorEastAsia"/>
                <w:color w:val="000000"/>
                <w:kern w:val="1"/>
                <w:sz w:val="21"/>
                <w:szCs w:val="21"/>
                <w:highlight w:val="none"/>
                <w:lang w:val="en-US" w:eastAsia="zh-CN" w:bidi="ar-SA"/>
              </w:rPr>
            </w:pPr>
            <w:r>
              <w:rPr>
                <w:rFonts w:hint="eastAsia" w:asciiTheme="minorEastAsia" w:hAnsiTheme="minorEastAsia" w:eastAsiaTheme="minorEastAsia" w:cstheme="minorEastAsia"/>
                <w:color w:val="000000"/>
                <w:kern w:val="1"/>
                <w:sz w:val="21"/>
                <w:szCs w:val="21"/>
                <w:highlight w:val="none"/>
                <w:lang w:val="en-US" w:eastAsia="zh-CN" w:bidi="ar-SA"/>
              </w:rPr>
              <w:t>6</w:t>
            </w:r>
          </w:p>
        </w:tc>
        <w:tc>
          <w:tcPr>
            <w:tcW w:w="1214" w:type="dxa"/>
            <w:shd w:val="clear" w:color="auto" w:fill="auto"/>
            <w:vAlign w:val="center"/>
          </w:tcPr>
          <w:p w14:paraId="5E04E6C2">
            <w:pPr>
              <w:spacing w:line="240" w:lineRule="auto"/>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rPr>
              <w:t>各分部分项工程施工技术方案</w:t>
            </w:r>
          </w:p>
        </w:tc>
        <w:tc>
          <w:tcPr>
            <w:tcW w:w="6412" w:type="dxa"/>
            <w:shd w:val="clear" w:color="auto" w:fill="auto"/>
            <w:vAlign w:val="center"/>
          </w:tcPr>
          <w:p w14:paraId="49D91B5D">
            <w:pPr>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eastAsia="zh-CN"/>
              </w:rPr>
              <w:t>根据投标人</w:t>
            </w:r>
            <w:r>
              <w:rPr>
                <w:rFonts w:hint="eastAsia" w:asciiTheme="minorEastAsia" w:hAnsiTheme="minorEastAsia" w:eastAsiaTheme="minorEastAsia" w:cstheme="minorEastAsia"/>
                <w:sz w:val="21"/>
                <w:szCs w:val="21"/>
                <w:highlight w:val="none"/>
              </w:rPr>
              <w:t>提供的各分部分项工程施工技术方案，描述是否清晰、工序是否安排得当进行评议。</w:t>
            </w:r>
          </w:p>
          <w:p w14:paraId="73A82EF0">
            <w:pPr>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①施工技术方案内容全面、描述清晰，符合项目实际情况，工序安排得当，切实可行的得</w:t>
            </w:r>
            <w:r>
              <w:rPr>
                <w:rFonts w:hint="eastAsia" w:asciiTheme="minorEastAsia" w:hAnsiTheme="minorEastAsia" w:eastAsiaTheme="minorEastAsia" w:cstheme="minorEastAsia"/>
                <w:sz w:val="21"/>
                <w:szCs w:val="21"/>
                <w:highlight w:val="none"/>
                <w:lang w:val="en-US" w:eastAsia="zh-CN"/>
              </w:rPr>
              <w:t>6.1-10</w:t>
            </w:r>
            <w:r>
              <w:rPr>
                <w:rFonts w:hint="eastAsia" w:asciiTheme="minorEastAsia" w:hAnsiTheme="minorEastAsia" w:eastAsiaTheme="minorEastAsia" w:cstheme="minorEastAsia"/>
                <w:sz w:val="21"/>
                <w:szCs w:val="21"/>
                <w:highlight w:val="none"/>
              </w:rPr>
              <w:t>分；</w:t>
            </w:r>
          </w:p>
          <w:p w14:paraId="7A60A21C">
            <w:pPr>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②施工技术方案内容比较详细，工序较为清晰、基本符合项目实际情况，安排妥当，合理可行的得</w:t>
            </w:r>
            <w:r>
              <w:rPr>
                <w:rFonts w:hint="eastAsia" w:asciiTheme="minorEastAsia" w:hAnsiTheme="minorEastAsia" w:eastAsiaTheme="minorEastAsia" w:cstheme="minorEastAsia"/>
                <w:sz w:val="21"/>
                <w:szCs w:val="21"/>
                <w:highlight w:val="none"/>
                <w:lang w:val="en-US" w:eastAsia="zh-CN"/>
              </w:rPr>
              <w:t>3.1-6</w:t>
            </w:r>
            <w:r>
              <w:rPr>
                <w:rFonts w:hint="eastAsia" w:asciiTheme="minorEastAsia" w:hAnsiTheme="minorEastAsia" w:eastAsiaTheme="minorEastAsia" w:cstheme="minorEastAsia"/>
                <w:sz w:val="21"/>
                <w:szCs w:val="21"/>
                <w:highlight w:val="none"/>
              </w:rPr>
              <w:t>分；</w:t>
            </w:r>
          </w:p>
          <w:p w14:paraId="725EFBD6">
            <w:pPr>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③施工技术方案内容简单笼统，细</w:t>
            </w:r>
            <w:r>
              <w:rPr>
                <w:rFonts w:hint="eastAsia" w:asciiTheme="minorEastAsia" w:hAnsiTheme="minorEastAsia" w:eastAsiaTheme="minorEastAsia" w:cstheme="minorEastAsia"/>
                <w:sz w:val="21"/>
                <w:szCs w:val="21"/>
                <w:highlight w:val="none"/>
                <w:lang w:val="en-US" w:eastAsia="zh-CN"/>
              </w:rPr>
              <w:t>-</w:t>
            </w:r>
            <w:r>
              <w:rPr>
                <w:rFonts w:hint="eastAsia" w:asciiTheme="minorEastAsia" w:hAnsiTheme="minorEastAsia" w:eastAsiaTheme="minorEastAsia" w:cstheme="minorEastAsia"/>
                <w:sz w:val="21"/>
                <w:szCs w:val="21"/>
                <w:highlight w:val="none"/>
              </w:rPr>
              <w:t>化程度不足，与项目实际情况存在较多不符，安排欠妥的得</w:t>
            </w:r>
            <w:r>
              <w:rPr>
                <w:rFonts w:hint="eastAsia" w:asciiTheme="minorEastAsia" w:hAnsiTheme="minorEastAsia" w:eastAsiaTheme="minorEastAsia" w:cstheme="minorEastAsia"/>
                <w:sz w:val="21"/>
                <w:szCs w:val="21"/>
                <w:highlight w:val="none"/>
                <w:lang w:val="en-US" w:eastAsia="zh-CN"/>
              </w:rPr>
              <w:t>1-3</w:t>
            </w:r>
            <w:r>
              <w:rPr>
                <w:rFonts w:hint="eastAsia" w:asciiTheme="minorEastAsia" w:hAnsiTheme="minorEastAsia" w:eastAsiaTheme="minorEastAsia" w:cstheme="minorEastAsia"/>
                <w:sz w:val="21"/>
                <w:szCs w:val="21"/>
                <w:highlight w:val="none"/>
              </w:rPr>
              <w:t>分；</w:t>
            </w:r>
          </w:p>
          <w:p w14:paraId="4F331034">
            <w:pPr>
              <w:jc w:val="left"/>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rPr>
              <w:t>④施工技术方案缺陷较多且明显影响项目建设质量的或未提供的不得分。</w:t>
            </w:r>
          </w:p>
        </w:tc>
        <w:tc>
          <w:tcPr>
            <w:tcW w:w="1019" w:type="dxa"/>
            <w:shd w:val="clear" w:color="auto" w:fill="auto"/>
            <w:vAlign w:val="center"/>
          </w:tcPr>
          <w:p w14:paraId="53A17570">
            <w:pPr>
              <w:spacing w:line="240" w:lineRule="auto"/>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lang w:val="en-US" w:eastAsia="zh-CN"/>
              </w:rPr>
              <w:t>0-10分</w:t>
            </w:r>
          </w:p>
        </w:tc>
      </w:tr>
      <w:tr w14:paraId="1A5E3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jc w:val="center"/>
        </w:trPr>
        <w:tc>
          <w:tcPr>
            <w:tcW w:w="592" w:type="dxa"/>
            <w:shd w:val="clear" w:color="auto" w:fill="auto"/>
            <w:vAlign w:val="center"/>
          </w:tcPr>
          <w:p w14:paraId="468E297A">
            <w:pPr>
              <w:adjustRightInd/>
              <w:snapToGrid/>
              <w:jc w:val="center"/>
              <w:rPr>
                <w:rFonts w:hint="default" w:asciiTheme="minorEastAsia" w:hAnsiTheme="minorEastAsia" w:eastAsiaTheme="minorEastAsia" w:cstheme="minorEastAsia"/>
                <w:color w:val="000000"/>
                <w:kern w:val="1"/>
                <w:sz w:val="21"/>
                <w:szCs w:val="21"/>
                <w:highlight w:val="none"/>
                <w:lang w:val="en-US" w:eastAsia="zh-CN" w:bidi="ar-SA"/>
              </w:rPr>
            </w:pPr>
            <w:r>
              <w:rPr>
                <w:rFonts w:hint="eastAsia" w:asciiTheme="minorEastAsia" w:hAnsiTheme="minorEastAsia" w:eastAsiaTheme="minorEastAsia" w:cstheme="minorEastAsia"/>
                <w:color w:val="000000"/>
                <w:kern w:val="1"/>
                <w:sz w:val="21"/>
                <w:szCs w:val="21"/>
                <w:highlight w:val="none"/>
                <w:lang w:val="en-US" w:eastAsia="zh-CN" w:bidi="ar-SA"/>
              </w:rPr>
              <w:t>7</w:t>
            </w:r>
          </w:p>
        </w:tc>
        <w:tc>
          <w:tcPr>
            <w:tcW w:w="1214" w:type="dxa"/>
            <w:shd w:val="clear" w:color="auto" w:fill="auto"/>
            <w:vAlign w:val="center"/>
          </w:tcPr>
          <w:p w14:paraId="3DD2C73E">
            <w:pPr>
              <w:spacing w:line="240" w:lineRule="auto"/>
              <w:ind w:right="0" w:rightChars="0"/>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rPr>
              <w:t>项目重点、难点的分析方案</w:t>
            </w:r>
          </w:p>
        </w:tc>
        <w:tc>
          <w:tcPr>
            <w:tcW w:w="6412" w:type="dxa"/>
            <w:shd w:val="clear" w:color="auto" w:fill="auto"/>
            <w:vAlign w:val="center"/>
          </w:tcPr>
          <w:p w14:paraId="7B68E92F">
            <w:pPr>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根据投标人</w:t>
            </w:r>
            <w:r>
              <w:rPr>
                <w:rFonts w:hint="eastAsia" w:asciiTheme="minorEastAsia" w:hAnsiTheme="minorEastAsia" w:eastAsiaTheme="minorEastAsia" w:cstheme="minorEastAsia"/>
                <w:color w:val="auto"/>
                <w:sz w:val="21"/>
                <w:szCs w:val="21"/>
                <w:highlight w:val="none"/>
              </w:rPr>
              <w:t>提供的项目重点、难点的分析方案</w:t>
            </w:r>
            <w:r>
              <w:rPr>
                <w:rFonts w:hint="eastAsia" w:asciiTheme="minorEastAsia" w:hAnsiTheme="minorEastAsia" w:eastAsiaTheme="minorEastAsia" w:cstheme="minorEastAsia"/>
                <w:color w:val="auto"/>
                <w:sz w:val="21"/>
                <w:szCs w:val="21"/>
                <w:highlight w:val="none"/>
                <w:lang w:eastAsia="zh-CN"/>
              </w:rPr>
              <w:t>及现场</w:t>
            </w:r>
            <w:r>
              <w:rPr>
                <w:rFonts w:hint="eastAsia" w:asciiTheme="minorEastAsia" w:hAnsiTheme="minorEastAsia" w:eastAsiaTheme="minorEastAsia" w:cstheme="minorEastAsia"/>
                <w:color w:val="auto"/>
                <w:sz w:val="21"/>
                <w:szCs w:val="21"/>
                <w:highlight w:val="none"/>
              </w:rPr>
              <w:t>现状的了解，针对项目实施过程中的重、难点的分析情况进行评议。</w:t>
            </w:r>
          </w:p>
          <w:p w14:paraId="71AA280E">
            <w:pPr>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①对项目实施过程中的重点、难点认识充分，分析全面的得</w:t>
            </w:r>
            <w:r>
              <w:rPr>
                <w:rFonts w:hint="eastAsia" w:asciiTheme="minorEastAsia" w:hAnsiTheme="minorEastAsia" w:eastAsiaTheme="minorEastAsia" w:cstheme="minorEastAsia"/>
                <w:color w:val="auto"/>
                <w:sz w:val="21"/>
                <w:szCs w:val="21"/>
                <w:highlight w:val="none"/>
                <w:lang w:val="en-US" w:eastAsia="zh-CN"/>
              </w:rPr>
              <w:t>15</w:t>
            </w:r>
            <w:r>
              <w:rPr>
                <w:rFonts w:hint="eastAsia" w:asciiTheme="minorEastAsia" w:hAnsiTheme="minorEastAsia" w:eastAsiaTheme="minorEastAsia" w:cstheme="minorEastAsia"/>
                <w:color w:val="auto"/>
                <w:sz w:val="21"/>
                <w:szCs w:val="21"/>
                <w:highlight w:val="none"/>
              </w:rPr>
              <w:t>分；</w:t>
            </w:r>
          </w:p>
          <w:p w14:paraId="07C3C6C0">
            <w:pPr>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②对项目实施过程中的重点、难点认识比较充分的得</w:t>
            </w:r>
            <w:r>
              <w:rPr>
                <w:rFonts w:hint="eastAsia" w:asciiTheme="minorEastAsia" w:hAnsiTheme="minorEastAsia" w:eastAsiaTheme="minorEastAsia" w:cstheme="minorEastAsia"/>
                <w:color w:val="auto"/>
                <w:sz w:val="21"/>
                <w:szCs w:val="21"/>
                <w:highlight w:val="none"/>
                <w:lang w:val="en-US" w:eastAsia="zh-CN"/>
              </w:rPr>
              <w:t>10</w:t>
            </w:r>
            <w:r>
              <w:rPr>
                <w:rFonts w:hint="eastAsia" w:asciiTheme="minorEastAsia" w:hAnsiTheme="minorEastAsia" w:eastAsiaTheme="minorEastAsia" w:cstheme="minorEastAsia"/>
                <w:color w:val="auto"/>
                <w:sz w:val="21"/>
                <w:szCs w:val="21"/>
                <w:highlight w:val="none"/>
              </w:rPr>
              <w:t>分；</w:t>
            </w:r>
          </w:p>
          <w:p w14:paraId="710C3AB0">
            <w:pPr>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③对项目实施过程中的重点、难点认识不够充分的得</w:t>
            </w:r>
            <w:r>
              <w:rPr>
                <w:rFonts w:hint="eastAsia" w:asciiTheme="minorEastAsia" w:hAnsiTheme="minorEastAsia"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rPr>
              <w:t>分；</w:t>
            </w:r>
          </w:p>
          <w:p w14:paraId="2946CD28">
            <w:pPr>
              <w:jc w:val="left"/>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rPr>
              <w:t>④对项目实施过程中的重点、难点认识明显不足或未提供的得不得分。</w:t>
            </w:r>
          </w:p>
        </w:tc>
        <w:tc>
          <w:tcPr>
            <w:tcW w:w="1019" w:type="dxa"/>
            <w:shd w:val="clear" w:color="auto" w:fill="auto"/>
            <w:vAlign w:val="center"/>
          </w:tcPr>
          <w:p w14:paraId="1E6AE64F">
            <w:pPr>
              <w:spacing w:line="240" w:lineRule="auto"/>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lang w:val="en-US" w:eastAsia="zh-CN"/>
              </w:rPr>
              <w:t>0-15分</w:t>
            </w:r>
          </w:p>
        </w:tc>
      </w:tr>
      <w:tr w14:paraId="6D131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9" w:hRule="atLeast"/>
          <w:jc w:val="center"/>
        </w:trPr>
        <w:tc>
          <w:tcPr>
            <w:tcW w:w="592" w:type="dxa"/>
            <w:shd w:val="clear" w:color="auto" w:fill="auto"/>
            <w:vAlign w:val="center"/>
          </w:tcPr>
          <w:p w14:paraId="7B58A6BC">
            <w:pPr>
              <w:jc w:val="center"/>
              <w:rPr>
                <w:rFonts w:hint="default" w:asciiTheme="minorEastAsia" w:hAnsiTheme="minorEastAsia" w:eastAsiaTheme="minorEastAsia" w:cstheme="minorEastAsia"/>
                <w:color w:val="000000"/>
                <w:kern w:val="1"/>
                <w:sz w:val="21"/>
                <w:szCs w:val="21"/>
                <w:highlight w:val="none"/>
                <w:lang w:val="en-US" w:eastAsia="zh-CN" w:bidi="ar-SA"/>
              </w:rPr>
            </w:pPr>
            <w:r>
              <w:rPr>
                <w:rFonts w:hint="eastAsia" w:asciiTheme="minorEastAsia" w:hAnsiTheme="minorEastAsia" w:eastAsiaTheme="minorEastAsia" w:cstheme="minorEastAsia"/>
                <w:color w:val="000000"/>
                <w:kern w:val="1"/>
                <w:sz w:val="21"/>
                <w:szCs w:val="21"/>
                <w:highlight w:val="none"/>
                <w:lang w:val="en-US" w:eastAsia="zh-CN" w:bidi="ar-SA"/>
              </w:rPr>
              <w:t>8</w:t>
            </w:r>
          </w:p>
        </w:tc>
        <w:tc>
          <w:tcPr>
            <w:tcW w:w="1214" w:type="dxa"/>
            <w:shd w:val="clear" w:color="auto" w:fill="auto"/>
            <w:vAlign w:val="center"/>
          </w:tcPr>
          <w:p w14:paraId="6FC7826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color w:val="000000"/>
                <w:sz w:val="21"/>
                <w:szCs w:val="21"/>
                <w:highlight w:val="none"/>
                <w:lang w:eastAsia="zh-CN"/>
              </w:rPr>
              <w:t>项目团队的工作职责和人员分工</w:t>
            </w:r>
          </w:p>
        </w:tc>
        <w:tc>
          <w:tcPr>
            <w:tcW w:w="6412" w:type="dxa"/>
            <w:shd w:val="clear" w:color="auto" w:fill="auto"/>
            <w:vAlign w:val="center"/>
          </w:tcPr>
          <w:p w14:paraId="3A75DDE9">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color w:val="000000"/>
                <w:sz w:val="21"/>
                <w:szCs w:val="21"/>
                <w:highlight w:val="none"/>
                <w:lang w:val="en-US" w:eastAsia="zh-CN"/>
              </w:rPr>
              <w:t>根据供应商</w:t>
            </w:r>
            <w:r>
              <w:rPr>
                <w:rFonts w:hint="eastAsia" w:asciiTheme="minorEastAsia" w:hAnsiTheme="minorEastAsia" w:eastAsiaTheme="minorEastAsia" w:cstheme="minorEastAsia"/>
                <w:color w:val="000000"/>
                <w:sz w:val="21"/>
                <w:szCs w:val="21"/>
                <w:highlight w:val="none"/>
                <w:lang w:val="zh-CN" w:eastAsia="zh-CN"/>
              </w:rPr>
              <w:t>配备专业团队</w:t>
            </w:r>
            <w:r>
              <w:rPr>
                <w:rFonts w:hint="eastAsia" w:asciiTheme="minorEastAsia" w:hAnsiTheme="minorEastAsia" w:eastAsiaTheme="minorEastAsia" w:cstheme="minorEastAsia"/>
                <w:color w:val="000000"/>
                <w:sz w:val="21"/>
                <w:szCs w:val="21"/>
                <w:highlight w:val="none"/>
                <w:lang w:val="en-US" w:eastAsia="zh-CN"/>
              </w:rPr>
              <w:t>、人员</w:t>
            </w:r>
            <w:r>
              <w:rPr>
                <w:rFonts w:hint="eastAsia" w:asciiTheme="minorEastAsia" w:hAnsiTheme="minorEastAsia" w:eastAsiaTheme="minorEastAsia" w:cstheme="minorEastAsia"/>
                <w:color w:val="000000"/>
                <w:sz w:val="21"/>
                <w:szCs w:val="21"/>
                <w:highlight w:val="none"/>
                <w:lang w:val="zh-CN" w:eastAsia="zh-CN"/>
              </w:rPr>
              <w:t>分工、工作职责</w:t>
            </w:r>
            <w:r>
              <w:rPr>
                <w:rFonts w:hint="eastAsia" w:asciiTheme="minorEastAsia" w:hAnsiTheme="minorEastAsia" w:eastAsiaTheme="minorEastAsia" w:cstheme="minorEastAsia"/>
                <w:color w:val="000000"/>
                <w:sz w:val="21"/>
                <w:szCs w:val="21"/>
                <w:highlight w:val="none"/>
                <w:lang w:val="en-US" w:eastAsia="zh-CN"/>
              </w:rPr>
              <w:t>等情况进行综合评审，本项最高得5分。</w:t>
            </w:r>
          </w:p>
        </w:tc>
        <w:tc>
          <w:tcPr>
            <w:tcW w:w="1019" w:type="dxa"/>
            <w:shd w:val="clear" w:color="auto" w:fill="auto"/>
            <w:vAlign w:val="center"/>
          </w:tcPr>
          <w:p w14:paraId="33B438D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b w:val="0"/>
                <w:bCs w:val="0"/>
                <w:color w:val="000000"/>
                <w:sz w:val="21"/>
                <w:szCs w:val="21"/>
                <w:highlight w:val="none"/>
                <w:lang w:val="en-US" w:eastAsia="zh-CN"/>
              </w:rPr>
              <w:t>0-5分</w:t>
            </w:r>
          </w:p>
        </w:tc>
      </w:tr>
      <w:tr w14:paraId="0A362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9" w:hRule="atLeast"/>
          <w:jc w:val="center"/>
        </w:trPr>
        <w:tc>
          <w:tcPr>
            <w:tcW w:w="592" w:type="dxa"/>
            <w:shd w:val="clear" w:color="auto" w:fill="auto"/>
            <w:vAlign w:val="center"/>
          </w:tcPr>
          <w:p w14:paraId="1591892B">
            <w:pPr>
              <w:jc w:val="center"/>
              <w:rPr>
                <w:rFonts w:hint="eastAsia" w:asciiTheme="minorEastAsia" w:hAnsiTheme="minorEastAsia" w:eastAsiaTheme="minorEastAsia" w:cstheme="minorEastAsia"/>
                <w:color w:val="000000"/>
                <w:kern w:val="1"/>
                <w:sz w:val="21"/>
                <w:szCs w:val="21"/>
                <w:highlight w:val="none"/>
                <w:lang w:val="en-US" w:eastAsia="zh-CN" w:bidi="ar-SA"/>
              </w:rPr>
            </w:pPr>
            <w:r>
              <w:rPr>
                <w:rFonts w:hint="eastAsia" w:asciiTheme="minorEastAsia" w:hAnsiTheme="minorEastAsia" w:eastAsiaTheme="minorEastAsia" w:cstheme="minorEastAsia"/>
                <w:color w:val="000000"/>
                <w:sz w:val="21"/>
                <w:szCs w:val="21"/>
                <w:highlight w:val="none"/>
                <w:lang w:val="en-US" w:eastAsia="zh-CN"/>
              </w:rPr>
              <w:t>9</w:t>
            </w:r>
          </w:p>
        </w:tc>
        <w:tc>
          <w:tcPr>
            <w:tcW w:w="1214" w:type="dxa"/>
            <w:shd w:val="clear" w:color="auto" w:fill="auto"/>
            <w:vAlign w:val="center"/>
          </w:tcPr>
          <w:p w14:paraId="26345F66">
            <w:pPr>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lang w:val="en-US" w:eastAsia="zh-CN"/>
              </w:rPr>
              <w:t>工程质量的保证措施</w:t>
            </w:r>
          </w:p>
        </w:tc>
        <w:tc>
          <w:tcPr>
            <w:tcW w:w="6412" w:type="dxa"/>
            <w:shd w:val="clear" w:color="auto" w:fill="auto"/>
            <w:vAlign w:val="center"/>
          </w:tcPr>
          <w:p w14:paraId="377AE33D">
            <w:pPr>
              <w:jc w:val="left"/>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根据投标人提供的工程质量保证措施，包括项目质量目标及其分解、质量管理及保证体系、质量保证制度的内容是否全面、描述是否清晰、是否切实可行进行评议。</w:t>
            </w:r>
          </w:p>
          <w:p w14:paraId="5531CF9A">
            <w:pPr>
              <w:jc w:val="left"/>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①工程质量保证措施内容全面完整、描述清晰，措施得力，切实可行的得7.1-10分；</w:t>
            </w:r>
          </w:p>
          <w:p w14:paraId="64DC4434">
            <w:pPr>
              <w:jc w:val="left"/>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②工程质量保证措施内容比较详细，措施适当，合理可行的得3.1-7分；</w:t>
            </w:r>
          </w:p>
          <w:p w14:paraId="37A07841">
            <w:pPr>
              <w:jc w:val="left"/>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③工程质量保证措施内容比较笼统，细化程度不足，措施欠妥的得1-3分；</w:t>
            </w:r>
          </w:p>
          <w:p w14:paraId="1D3B7836">
            <w:pPr>
              <w:jc w:val="left"/>
              <w:rPr>
                <w:rFonts w:hint="eastAsia" w:asciiTheme="minorEastAsia" w:hAnsiTheme="minorEastAsia" w:eastAsiaTheme="minorEastAsia" w:cstheme="minorEastAsia"/>
                <w:kern w:val="1"/>
                <w:sz w:val="21"/>
                <w:szCs w:val="21"/>
                <w:highlight w:val="none"/>
                <w:lang w:val="en-US" w:eastAsia="zh-CN" w:bidi="ar-SA"/>
              </w:rPr>
            </w:pPr>
          </w:p>
        </w:tc>
        <w:tc>
          <w:tcPr>
            <w:tcW w:w="1019" w:type="dxa"/>
            <w:shd w:val="clear" w:color="auto" w:fill="auto"/>
            <w:vAlign w:val="center"/>
          </w:tcPr>
          <w:p w14:paraId="7A49577B">
            <w:pPr>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lang w:val="en-US" w:eastAsia="zh-CN"/>
              </w:rPr>
              <w:t>0-10分</w:t>
            </w:r>
          </w:p>
        </w:tc>
      </w:tr>
      <w:tr w14:paraId="5BAA7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9" w:hRule="atLeast"/>
          <w:jc w:val="center"/>
        </w:trPr>
        <w:tc>
          <w:tcPr>
            <w:tcW w:w="592" w:type="dxa"/>
            <w:shd w:val="clear" w:color="auto" w:fill="auto"/>
            <w:vAlign w:val="center"/>
          </w:tcPr>
          <w:p w14:paraId="6D6A8D7F">
            <w:pPr>
              <w:jc w:val="center"/>
              <w:rPr>
                <w:rFonts w:hint="eastAsia" w:asciiTheme="minorEastAsia" w:hAnsiTheme="minorEastAsia" w:eastAsiaTheme="minorEastAsia" w:cstheme="minorEastAsia"/>
                <w:color w:val="000000"/>
                <w:kern w:val="1"/>
                <w:sz w:val="21"/>
                <w:szCs w:val="21"/>
                <w:highlight w:val="none"/>
                <w:lang w:val="en-US" w:eastAsia="zh-CN" w:bidi="ar-SA"/>
              </w:rPr>
            </w:pPr>
            <w:r>
              <w:rPr>
                <w:rFonts w:hint="eastAsia" w:asciiTheme="minorEastAsia" w:hAnsiTheme="minorEastAsia" w:eastAsiaTheme="minorEastAsia" w:cstheme="minorEastAsia"/>
                <w:color w:val="000000"/>
                <w:kern w:val="1"/>
                <w:sz w:val="21"/>
                <w:szCs w:val="21"/>
                <w:highlight w:val="none"/>
                <w:lang w:val="en-US" w:eastAsia="zh-CN" w:bidi="ar-SA"/>
              </w:rPr>
              <w:t>10</w:t>
            </w:r>
          </w:p>
        </w:tc>
        <w:tc>
          <w:tcPr>
            <w:tcW w:w="1214" w:type="dxa"/>
            <w:shd w:val="clear" w:color="auto" w:fill="auto"/>
            <w:vAlign w:val="center"/>
          </w:tcPr>
          <w:p w14:paraId="79148787">
            <w:pPr>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rPr>
              <w:t>售后服务方案</w:t>
            </w:r>
          </w:p>
        </w:tc>
        <w:tc>
          <w:tcPr>
            <w:tcW w:w="6412" w:type="dxa"/>
            <w:shd w:val="clear" w:color="auto" w:fill="auto"/>
            <w:vAlign w:val="center"/>
          </w:tcPr>
          <w:p w14:paraId="14558105">
            <w:pPr>
              <w:spacing w:line="240" w:lineRule="auto"/>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根据</w:t>
            </w:r>
            <w:r>
              <w:rPr>
                <w:rFonts w:hint="eastAsia" w:asciiTheme="minorEastAsia" w:hAnsiTheme="minorEastAsia" w:eastAsiaTheme="minorEastAsia" w:cstheme="minorEastAsia"/>
                <w:sz w:val="21"/>
                <w:szCs w:val="21"/>
                <w:highlight w:val="none"/>
                <w:lang w:val="en-US" w:eastAsia="zh-CN"/>
              </w:rPr>
              <w:t>投标人</w:t>
            </w:r>
            <w:r>
              <w:rPr>
                <w:rFonts w:hint="eastAsia" w:asciiTheme="minorEastAsia" w:hAnsiTheme="minorEastAsia" w:eastAsiaTheme="minorEastAsia" w:cstheme="minorEastAsia"/>
                <w:sz w:val="21"/>
                <w:szCs w:val="21"/>
                <w:highlight w:val="none"/>
              </w:rPr>
              <w:t>针对本项目的售后服务方案（包括网点分布、服务内容、响应时间、响应程度、产品调换措施、质保时间承诺、售后服务保障等）进行评分：</w:t>
            </w:r>
            <w:bookmarkStart w:id="0" w:name="_GoBack"/>
            <w:bookmarkEnd w:id="0"/>
          </w:p>
          <w:p w14:paraId="0AEB6FB2">
            <w:pPr>
              <w:spacing w:line="240" w:lineRule="auto"/>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售后服务方案包括上述所有内容且详细，服务标准规范，服务响应时间迅速，能快速有效的协助采购人完成售后保障的得</w:t>
            </w:r>
            <w:r>
              <w:rPr>
                <w:rFonts w:hint="eastAsia" w:asciiTheme="minorEastAsia" w:hAnsiTheme="minorEastAsia" w:eastAsiaTheme="minorEastAsia" w:cstheme="minorEastAsia"/>
                <w:sz w:val="21"/>
                <w:szCs w:val="21"/>
                <w:highlight w:val="none"/>
                <w:lang w:val="en-US" w:eastAsia="zh-CN"/>
              </w:rPr>
              <w:t>7.1-10</w:t>
            </w:r>
            <w:r>
              <w:rPr>
                <w:rFonts w:hint="eastAsia" w:asciiTheme="minorEastAsia" w:hAnsiTheme="minorEastAsia" w:eastAsiaTheme="minorEastAsia" w:cstheme="minorEastAsia"/>
                <w:sz w:val="21"/>
                <w:szCs w:val="21"/>
                <w:highlight w:val="none"/>
              </w:rPr>
              <w:t>分；</w:t>
            </w:r>
          </w:p>
          <w:p w14:paraId="518DFA36">
            <w:pPr>
              <w:spacing w:line="240" w:lineRule="auto"/>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售后服务方案包括上述所有内容详细，服务标准规范，服务响应时间迅速</w:t>
            </w:r>
            <w:r>
              <w:rPr>
                <w:rFonts w:hint="eastAsia" w:asciiTheme="minorEastAsia" w:hAnsiTheme="minorEastAsia" w:eastAsiaTheme="minorEastAsia" w:cstheme="minorEastAsia"/>
                <w:sz w:val="21"/>
                <w:szCs w:val="21"/>
                <w:highlight w:val="none"/>
                <w:lang w:val="en-US" w:eastAsia="zh-CN"/>
              </w:rPr>
              <w:t>一般</w:t>
            </w:r>
            <w:r>
              <w:rPr>
                <w:rFonts w:hint="eastAsia" w:asciiTheme="minorEastAsia" w:hAnsiTheme="minorEastAsia" w:eastAsiaTheme="minorEastAsia" w:cstheme="minorEastAsia"/>
                <w:sz w:val="21"/>
                <w:szCs w:val="21"/>
                <w:highlight w:val="none"/>
              </w:rPr>
              <w:t>，能有效的协助采购人完成售后保障的得</w:t>
            </w:r>
            <w:r>
              <w:rPr>
                <w:rFonts w:hint="eastAsia" w:asciiTheme="minorEastAsia" w:hAnsiTheme="minorEastAsia" w:eastAsiaTheme="minorEastAsia" w:cstheme="minorEastAsia"/>
                <w:sz w:val="21"/>
                <w:szCs w:val="21"/>
                <w:highlight w:val="none"/>
                <w:lang w:val="en-US" w:eastAsia="zh-CN"/>
              </w:rPr>
              <w:t>4.1-7</w:t>
            </w:r>
            <w:r>
              <w:rPr>
                <w:rFonts w:hint="eastAsia" w:asciiTheme="minorEastAsia" w:hAnsiTheme="minorEastAsia" w:eastAsiaTheme="minorEastAsia" w:cstheme="minorEastAsia"/>
                <w:sz w:val="21"/>
                <w:szCs w:val="21"/>
                <w:highlight w:val="none"/>
              </w:rPr>
              <w:t>分；</w:t>
            </w:r>
          </w:p>
          <w:p w14:paraId="74A10462">
            <w:pPr>
              <w:jc w:val="left"/>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rPr>
              <w:t>售后服务方案在上述要求的基础上</w:t>
            </w:r>
            <w:r>
              <w:rPr>
                <w:rFonts w:hint="eastAsia" w:asciiTheme="minorEastAsia" w:hAnsiTheme="minorEastAsia" w:eastAsiaTheme="minorEastAsia" w:cstheme="minorEastAsia"/>
                <w:sz w:val="21"/>
                <w:szCs w:val="21"/>
                <w:highlight w:val="none"/>
                <w:lang w:val="en-US" w:eastAsia="zh-CN"/>
              </w:rPr>
              <w:t>服务标准、响应时间速度不及时的</w:t>
            </w:r>
            <w:r>
              <w:rPr>
                <w:rFonts w:hint="eastAsia" w:asciiTheme="minorEastAsia" w:hAnsiTheme="minorEastAsia" w:eastAsiaTheme="minorEastAsia" w:cstheme="minorEastAsia"/>
                <w:sz w:val="21"/>
                <w:szCs w:val="21"/>
                <w:highlight w:val="none"/>
              </w:rPr>
              <w:t>得</w:t>
            </w:r>
            <w:r>
              <w:rPr>
                <w:rFonts w:hint="eastAsia" w:asciiTheme="minorEastAsia" w:hAnsiTheme="minorEastAsia" w:eastAsiaTheme="minorEastAsia" w:cstheme="minorEastAsia"/>
                <w:sz w:val="21"/>
                <w:szCs w:val="21"/>
                <w:highlight w:val="none"/>
                <w:lang w:val="en-US" w:eastAsia="zh-CN"/>
              </w:rPr>
              <w:t>0-4</w:t>
            </w:r>
            <w:r>
              <w:rPr>
                <w:rFonts w:hint="eastAsia" w:asciiTheme="minorEastAsia" w:hAnsiTheme="minorEastAsia" w:eastAsiaTheme="minorEastAsia" w:cstheme="minorEastAsia"/>
                <w:sz w:val="21"/>
                <w:szCs w:val="21"/>
                <w:highlight w:val="none"/>
              </w:rPr>
              <w:t>分。</w:t>
            </w:r>
          </w:p>
        </w:tc>
        <w:tc>
          <w:tcPr>
            <w:tcW w:w="1019" w:type="dxa"/>
            <w:shd w:val="clear" w:color="auto" w:fill="auto"/>
            <w:vAlign w:val="center"/>
          </w:tcPr>
          <w:p w14:paraId="37EE042C">
            <w:pPr>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lang w:val="en-US" w:eastAsia="zh-CN"/>
              </w:rPr>
              <w:t>0-10分</w:t>
            </w:r>
          </w:p>
        </w:tc>
      </w:tr>
    </w:tbl>
    <w:p w14:paraId="6F82AE6A">
      <w:pPr>
        <w:jc w:val="left"/>
        <w:rPr>
          <w:rFonts w:hint="default" w:asciiTheme="minorEastAsia" w:hAnsiTheme="minorEastAsia" w:eastAsiaTheme="minorEastAsia" w:cstheme="minorEastAsia"/>
          <w:sz w:val="21"/>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43058"/>
    <w:rsid w:val="03C926DB"/>
    <w:rsid w:val="0E9D6C3E"/>
    <w:rsid w:val="10932267"/>
    <w:rsid w:val="12A52565"/>
    <w:rsid w:val="14D64C58"/>
    <w:rsid w:val="17942BA8"/>
    <w:rsid w:val="182B033A"/>
    <w:rsid w:val="1E8E7FF3"/>
    <w:rsid w:val="211C7E96"/>
    <w:rsid w:val="2A0E5F51"/>
    <w:rsid w:val="3DBB0119"/>
    <w:rsid w:val="3EDC080D"/>
    <w:rsid w:val="41B006A6"/>
    <w:rsid w:val="430F0AC0"/>
    <w:rsid w:val="50134244"/>
    <w:rsid w:val="51380E48"/>
    <w:rsid w:val="5C0B7887"/>
    <w:rsid w:val="642F3009"/>
    <w:rsid w:val="64B61035"/>
    <w:rsid w:val="660D37F9"/>
    <w:rsid w:val="704F70E4"/>
    <w:rsid w:val="753204EF"/>
    <w:rsid w:val="753C3C41"/>
    <w:rsid w:val="790F4D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jc w:val="both"/>
    </w:pPr>
    <w:rPr>
      <w:rFonts w:ascii="Times New Roman" w:hAnsi="Times New Roman" w:eastAsia="宋体" w:cs="Times New Roman"/>
      <w:kern w:val="1"/>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eastAsia="黑体"/>
      <w:b/>
      <w:bCs/>
      <w:spacing w:val="20"/>
      <w:kern w:val="52"/>
      <w:sz w:val="56"/>
      <w:szCs w:val="24"/>
    </w:rPr>
  </w:style>
  <w:style w:type="paragraph" w:styleId="3">
    <w:name w:val="Body Text First Indent"/>
    <w:basedOn w:val="2"/>
    <w:next w:val="1"/>
    <w:qFormat/>
    <w:uiPriority w:val="0"/>
    <w:pPr>
      <w:adjustRightInd w:val="0"/>
      <w:spacing w:after="120" w:line="360" w:lineRule="auto"/>
      <w:ind w:firstLine="420"/>
      <w:textAlignment w:val="baseline"/>
    </w:pPr>
    <w:rPr>
      <w:rFonts w:ascii="Calibri" w:hAnsi="Calibri" w:eastAsia="楷体_GB2312"/>
      <w:b w:val="0"/>
      <w:bCs w:val="0"/>
      <w:spacing w:val="0"/>
      <w:kern w:val="0"/>
      <w:sz w:val="24"/>
      <w:szCs w:val="20"/>
    </w:rPr>
  </w:style>
  <w:style w:type="paragraph" w:styleId="4">
    <w:name w:val="Plain Text"/>
    <w:basedOn w:val="1"/>
    <w:qFormat/>
    <w:uiPriority w:val="0"/>
    <w:pPr>
      <w:widowControl/>
      <w:overflowPunct w:val="0"/>
      <w:autoSpaceDE w:val="0"/>
      <w:autoSpaceDN w:val="0"/>
      <w:adjustRightInd w:val="0"/>
      <w:jc w:val="left"/>
      <w:textAlignment w:val="baseline"/>
    </w:pPr>
    <w:rPr>
      <w:rFonts w:ascii="宋体" w:hAnsi="Courier New"/>
      <w:kern w:val="0"/>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1641</Words>
  <Characters>1724</Characters>
  <Lines>0</Lines>
  <Paragraphs>0</Paragraphs>
  <TotalTime>42</TotalTime>
  <ScaleCrop>false</ScaleCrop>
  <LinksUpToDate>false</LinksUpToDate>
  <CharactersWithSpaces>1724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2024-11-23T10:22:00Z</dcterms:created>
  <dc:creator>柴紫凯</dc:creator>
  <cp:lastModifiedBy>佳琦</cp:lastModifiedBy>
  <dcterms:modified xsi:type="dcterms:W3CDTF">2026-01-19T02:18:45Z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DAF0C3EC7C5748CB93E070E548033FBA_13</vt:lpwstr>
  </property>
  <property fmtid="{D5CDD505-2E9C-101B-9397-08002B2CF9AE}" pid="4" name="KSOTemplateDocerSaveRecord">
    <vt:lpwstr>eyJoZGlkIjoiYTJjMjZjNmRhNDg4MGI2ZDgxYzBjNzYzNDY5NGZmMzkiLCJ1c2VySWQiOiIyOTY0MjMwMzMifQ==</vt:lpwstr>
  </property>
</Properties>
</file>